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493446">
        <w:rPr>
          <w:sz w:val="24"/>
          <w:szCs w:val="24"/>
        </w:rPr>
        <w:t>9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493446">
        <w:rPr>
          <w:sz w:val="24"/>
          <w:szCs w:val="24"/>
        </w:rPr>
        <w:t>3</w:t>
      </w:r>
      <w:r w:rsidR="009A77E9">
        <w:rPr>
          <w:sz w:val="24"/>
          <w:szCs w:val="24"/>
        </w:rPr>
        <w:t xml:space="preserve"> de </w:t>
      </w:r>
      <w:r w:rsidR="00493446">
        <w:rPr>
          <w:sz w:val="24"/>
          <w:szCs w:val="24"/>
        </w:rPr>
        <w:t>diciembre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0A3312">
        <w:rPr>
          <w:sz w:val="24"/>
          <w:szCs w:val="24"/>
        </w:rPr>
        <w:t>7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493446" w:rsidRPr="00CC55C6" w:rsidTr="00493446">
        <w:trPr>
          <w:trHeight w:val="25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47077E" w:rsidRDefault="00493446" w:rsidP="004020F5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CC55C6" w:rsidRDefault="008B14B0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47077E" w:rsidRDefault="00493446" w:rsidP="004020F5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CC55C6" w:rsidRDefault="008B14B0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3446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47077E" w:rsidRDefault="00493446" w:rsidP="004020F5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CC55C6" w:rsidRDefault="008B14B0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47077E" w:rsidRDefault="00493446" w:rsidP="004020F5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CC55C6" w:rsidRDefault="008B14B0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3446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47077E" w:rsidRDefault="00493446" w:rsidP="004020F5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CC55C6" w:rsidRDefault="008B14B0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47077E" w:rsidRDefault="00493446" w:rsidP="004020F5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CC55C6" w:rsidRDefault="008B14B0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3446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47077E" w:rsidRDefault="00493446" w:rsidP="004020F5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CC55C6" w:rsidRDefault="00493446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47077E" w:rsidRDefault="00493446" w:rsidP="004020F5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CC55C6" w:rsidRDefault="00493446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3446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47077E" w:rsidRDefault="00493446" w:rsidP="004020F5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CC55C6" w:rsidRDefault="008B14B0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47077E" w:rsidRDefault="00493446" w:rsidP="004020F5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Pr="00CC55C6" w:rsidRDefault="008B14B0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3446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Default="00493446" w:rsidP="004020F5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Default="008B14B0" w:rsidP="008106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Default="00493446" w:rsidP="004020F5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46" w:rsidRDefault="008B14B0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8B14B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0" w:rsidRPr="00CC55C6" w:rsidRDefault="008B14B0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8B14B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0" w:rsidRPr="00CC55C6" w:rsidRDefault="008B14B0" w:rsidP="00CF74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8B14B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0" w:rsidRPr="00CC55C6" w:rsidRDefault="008B14B0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8B14B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0" w:rsidRPr="00CC55C6" w:rsidRDefault="008B14B0" w:rsidP="00B553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8B14B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0" w:rsidRPr="00CC55C6" w:rsidRDefault="008B14B0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8B14B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0" w:rsidRPr="00CC55C6" w:rsidRDefault="008B14B0" w:rsidP="00E343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8B14B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0" w:rsidRPr="00CC55C6" w:rsidRDefault="008B14B0" w:rsidP="00C3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8B14B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0" w:rsidRPr="00CC55C6" w:rsidRDefault="008B14B0" w:rsidP="00B553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8B14B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0" w:rsidRDefault="008B14B0" w:rsidP="00E343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8B14B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0" w:rsidRPr="00CC55C6" w:rsidRDefault="008B14B0" w:rsidP="008B14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8B14B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0" w:rsidRPr="00CC55C6" w:rsidRDefault="008B14B0" w:rsidP="008B14B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8B14B0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0" w:rsidRPr="00CC55C6" w:rsidRDefault="008B14B0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4B0" w:rsidRPr="00CC55C6" w:rsidRDefault="008B14B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86266B">
        <w:rPr>
          <w:b/>
          <w:u w:val="single"/>
        </w:rPr>
        <w:t>17</w:t>
      </w:r>
      <w:r w:rsidR="00447359">
        <w:rPr>
          <w:b/>
          <w:u w:val="single"/>
        </w:rPr>
        <w:t>-</w:t>
      </w:r>
      <w:r w:rsidR="003F3D67">
        <w:rPr>
          <w:b/>
          <w:u w:val="single"/>
        </w:rPr>
        <w:t>diciembre</w:t>
      </w:r>
      <w:r>
        <w:rPr>
          <w:b/>
          <w:u w:val="single"/>
        </w:rPr>
        <w:t>-201</w:t>
      </w:r>
      <w:r w:rsidR="00621099">
        <w:rPr>
          <w:b/>
          <w:u w:val="single"/>
        </w:rPr>
        <w:t>7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86266B" w:rsidP="0075485E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86266B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B2618" w:rsidRPr="0047077E" w:rsidRDefault="0086266B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6266B" w:rsidP="00CD19C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552" w:type="dxa"/>
          </w:tcPr>
          <w:p w:rsidR="006B2618" w:rsidRPr="0047077E" w:rsidRDefault="0086266B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6266B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2552" w:type="dxa"/>
          </w:tcPr>
          <w:p w:rsidR="006B2618" w:rsidRPr="0047077E" w:rsidRDefault="0086266B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86266B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B2618" w:rsidRPr="0047077E" w:rsidRDefault="0086266B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86266B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21099" w:rsidRDefault="0086266B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816360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15226" w:rsidRPr="00215226" w:rsidRDefault="00CC23E0" w:rsidP="000E075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10718">
        <w:t>1</w:t>
      </w:r>
      <w:r w:rsidR="008B14B0">
        <w:t>1</w:t>
      </w:r>
    </w:p>
    <w:p w:rsidR="00CC23E0" w:rsidRPr="00610718" w:rsidRDefault="00215226" w:rsidP="000E075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8B14B0">
        <w:t>16</w:t>
      </w:r>
      <w:r w:rsidR="006B2618">
        <w:t>.</w:t>
      </w:r>
    </w:p>
    <w:p w:rsidR="006B2618" w:rsidRDefault="006B2618" w:rsidP="006B2618">
      <w:pPr>
        <w:ind w:left="2880"/>
      </w:pPr>
    </w:p>
    <w:p w:rsidR="006B2618" w:rsidRPr="004033AD" w:rsidRDefault="006B2618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6B2618" w:rsidRPr="00925E79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10718">
        <w:t>10</w:t>
      </w:r>
      <w:r w:rsidR="002020DA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610718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020DA" w:rsidRPr="00610718" w:rsidRDefault="00925E79" w:rsidP="002020DA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8B14B0">
        <w:t>5</w:t>
      </w:r>
      <w:r w:rsidR="006107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E34301" w:rsidRPr="004033AD" w:rsidRDefault="00925E79" w:rsidP="00E3430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E34301" w:rsidRPr="00610718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8662B">
        <w:t>1</w:t>
      </w:r>
      <w:r w:rsidR="008B14B0">
        <w:t>0</w:t>
      </w:r>
      <w:r w:rsidR="00610718">
        <w:t>.</w:t>
      </w:r>
    </w:p>
    <w:p w:rsidR="00E07D34" w:rsidRDefault="00E07D34" w:rsidP="00E07D34"/>
    <w:p w:rsidR="002020DA" w:rsidRPr="004033AD" w:rsidRDefault="0048662B" w:rsidP="002020D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020DA" w:rsidRPr="008B14B0" w:rsidRDefault="008B14B0" w:rsidP="006B2618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48662B">
        <w:t>amarilla</w:t>
      </w:r>
      <w:r>
        <w:t>s</w:t>
      </w:r>
      <w:r w:rsidR="002020DA">
        <w:t xml:space="preserve"> al nº </w:t>
      </w:r>
      <w:r>
        <w:t>17.</w:t>
      </w:r>
    </w:p>
    <w:p w:rsidR="00610718" w:rsidRDefault="00610718" w:rsidP="00610718"/>
    <w:p w:rsidR="00215226" w:rsidRPr="004033AD" w:rsidRDefault="00215226" w:rsidP="0021522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8B14B0" w:rsidRPr="008B14B0" w:rsidRDefault="00215226" w:rsidP="00215226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8B14B0">
        <w:t>14</w:t>
      </w:r>
    </w:p>
    <w:p w:rsidR="00215226" w:rsidRPr="00215226" w:rsidRDefault="008B14B0" w:rsidP="00215226">
      <w:pPr>
        <w:numPr>
          <w:ilvl w:val="3"/>
          <w:numId w:val="11"/>
        </w:numPr>
        <w:rPr>
          <w:u w:val="single"/>
        </w:rPr>
      </w:pPr>
      <w:r>
        <w:t>amarilla al nº 15</w:t>
      </w:r>
      <w:r w:rsidR="00215226">
        <w:t>.</w:t>
      </w:r>
    </w:p>
    <w:p w:rsidR="00215226" w:rsidRPr="00661165" w:rsidRDefault="00215226" w:rsidP="00215226">
      <w:pPr>
        <w:ind w:left="2880"/>
        <w:rPr>
          <w:u w:val="single"/>
        </w:rPr>
      </w:pPr>
    </w:p>
    <w:p w:rsidR="002572A2" w:rsidRDefault="002572A2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lastRenderedPageBreak/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Pr="002020DA" w:rsidRDefault="00D65276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</w:t>
      </w:r>
      <w:proofErr w:type="spellStart"/>
      <w:r w:rsidR="0033039E">
        <w:t>Atlantic</w:t>
      </w:r>
      <w:proofErr w:type="spellEnd"/>
      <w:r w:rsidR="0033039E">
        <w:t xml:space="preserve">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2020DA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Atlantic</w:t>
            </w:r>
            <w:proofErr w:type="spellEnd"/>
            <w:r w:rsidR="00DB1E50">
              <w:rPr>
                <w:b/>
              </w:rPr>
              <w:t xml:space="preserve">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610718" w:rsidRDefault="00610718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B14B0" w:rsidRDefault="008B14B0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610718" w:rsidRDefault="00610718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lastRenderedPageBreak/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86266B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proofErr w:type="spellStart"/>
      <w:r>
        <w:t>Aravi</w:t>
      </w:r>
      <w:proofErr w:type="spellEnd"/>
      <w:r w:rsidR="0070665A">
        <w:t xml:space="preserve">…………….  </w:t>
      </w:r>
      <w:r>
        <w:t xml:space="preserve">  312</w:t>
      </w:r>
      <w:r w:rsidR="003F1757">
        <w:t>,</w:t>
      </w:r>
      <w:r w:rsidR="00E753FB">
        <w:t>44</w:t>
      </w:r>
      <w:r w:rsidR="0070665A">
        <w:t xml:space="preserve"> euros</w:t>
      </w:r>
    </w:p>
    <w:p w:rsidR="0070665A" w:rsidRDefault="0070665A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 xml:space="preserve">8 40 ………………  </w:t>
      </w:r>
      <w:r w:rsidR="00BC135A">
        <w:t xml:space="preserve">486,66 </w:t>
      </w:r>
      <w:r>
        <w:t>euros</w:t>
      </w:r>
    </w:p>
    <w:p w:rsidR="0086266B" w:rsidRDefault="0086266B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proofErr w:type="spellStart"/>
      <w:r>
        <w:t>Yepronor</w:t>
      </w:r>
      <w:proofErr w:type="spellEnd"/>
      <w:r>
        <w:t xml:space="preserve">…………  </w:t>
      </w:r>
      <w:r w:rsidR="00BC135A">
        <w:t xml:space="preserve"> </w:t>
      </w:r>
      <w:r>
        <w:t>271,32 euros</w:t>
      </w:r>
    </w:p>
    <w:p w:rsidR="0086266B" w:rsidRDefault="0086266B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 xml:space="preserve">Zabala……………   </w:t>
      </w:r>
      <w:r w:rsidR="00BC135A">
        <w:t xml:space="preserve"> </w:t>
      </w:r>
      <w:r>
        <w:t xml:space="preserve"> 87,36 euros</w:t>
      </w:r>
    </w:p>
    <w:p w:rsidR="0086266B" w:rsidRDefault="0086266B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proofErr w:type="spellStart"/>
      <w:r>
        <w:t>Unirea</w:t>
      </w:r>
      <w:proofErr w:type="spellEnd"/>
      <w:r>
        <w:t xml:space="preserve">…………… </w:t>
      </w:r>
      <w:r w:rsidR="00BC135A">
        <w:t xml:space="preserve"> </w:t>
      </w:r>
      <w:r>
        <w:t xml:space="preserve"> 416,00 euros</w:t>
      </w:r>
      <w:r w:rsidR="008B740B">
        <w:t>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AA" w:rsidRDefault="004253AA">
      <w:r>
        <w:separator/>
      </w:r>
    </w:p>
  </w:endnote>
  <w:endnote w:type="continuationSeparator" w:id="0">
    <w:p w:rsidR="004253AA" w:rsidRDefault="0042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493446">
      <w:t>9</w:t>
    </w:r>
    <w:r>
      <w:t xml:space="preserve"> del </w:t>
    </w:r>
    <w:r w:rsidR="00493446">
      <w:t>3</w:t>
    </w:r>
    <w:r>
      <w:t>-</w:t>
    </w:r>
    <w:r w:rsidR="006B2618">
      <w:t>1</w:t>
    </w:r>
    <w:r w:rsidR="00493446">
      <w:t>2</w:t>
    </w:r>
    <w:r>
      <w:t>-1</w:t>
    </w:r>
    <w:r w:rsidR="009D1CED">
      <w:t>7</w:t>
    </w:r>
    <w:r w:rsidR="00493446">
      <w:t xml:space="preserve"> </w:t>
    </w:r>
    <w:r w:rsidR="00493446">
      <w:tab/>
    </w:r>
    <w:r>
      <w:t xml:space="preserve">          </w:t>
    </w:r>
    <w:r w:rsidR="00B83CD9">
      <w:t xml:space="preserve">  </w:t>
    </w:r>
    <w:r>
      <w:t xml:space="preserve">                 página </w:t>
    </w:r>
    <w:r w:rsidR="007D21A7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7D21A7">
      <w:rPr>
        <w:rStyle w:val="Nmerodepgina"/>
      </w:rPr>
      <w:fldChar w:fldCharType="separate"/>
    </w:r>
    <w:r w:rsidR="008B14B0">
      <w:rPr>
        <w:rStyle w:val="Nmerodepgina"/>
        <w:noProof/>
      </w:rPr>
      <w:t>5</w:t>
    </w:r>
    <w:r w:rsidR="007D21A7">
      <w:rPr>
        <w:rStyle w:val="Nmerodepgina"/>
      </w:rPr>
      <w:fldChar w:fldCharType="end"/>
    </w:r>
    <w:r>
      <w:rPr>
        <w:rStyle w:val="Nmerodepgina"/>
      </w:rPr>
      <w:t xml:space="preserve"> de </w:t>
    </w:r>
    <w:r w:rsidR="007D21A7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7D21A7">
      <w:rPr>
        <w:rStyle w:val="Nmerodepgina"/>
      </w:rPr>
      <w:fldChar w:fldCharType="separate"/>
    </w:r>
    <w:r w:rsidR="008B14B0">
      <w:rPr>
        <w:rStyle w:val="Nmerodepgina"/>
        <w:noProof/>
      </w:rPr>
      <w:t>5</w:t>
    </w:r>
    <w:r w:rsidR="007D21A7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AA" w:rsidRDefault="004253AA">
      <w:r>
        <w:separator/>
      </w:r>
    </w:p>
  </w:footnote>
  <w:footnote w:type="continuationSeparator" w:id="0">
    <w:p w:rsidR="004253AA" w:rsidRDefault="00425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7CE4"/>
    <w:rsid w:val="001F1821"/>
    <w:rsid w:val="001F59DF"/>
    <w:rsid w:val="001F5FE8"/>
    <w:rsid w:val="001F672A"/>
    <w:rsid w:val="002020DA"/>
    <w:rsid w:val="0020251F"/>
    <w:rsid w:val="002032A8"/>
    <w:rsid w:val="00203CC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8662B"/>
    <w:rsid w:val="00490551"/>
    <w:rsid w:val="00491A8C"/>
    <w:rsid w:val="00493446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0665A"/>
    <w:rsid w:val="0070788F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7F3CCD"/>
    <w:rsid w:val="0080140A"/>
    <w:rsid w:val="00802548"/>
    <w:rsid w:val="00802C14"/>
    <w:rsid w:val="0080439D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266B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4EC1"/>
    <w:rsid w:val="00AE17DA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42BF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2D41"/>
    <w:rsid w:val="00D3571A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6097"/>
    <w:rsid w:val="00EE7009"/>
    <w:rsid w:val="00EF11D5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FB51-39C8-4FE4-BE48-54D5C278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6</cp:revision>
  <dcterms:created xsi:type="dcterms:W3CDTF">2017-12-03T09:11:00Z</dcterms:created>
  <dcterms:modified xsi:type="dcterms:W3CDTF">2017-12-03T17:04:00Z</dcterms:modified>
</cp:coreProperties>
</file>