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8D3F13">
        <w:rPr>
          <w:sz w:val="24"/>
          <w:szCs w:val="24"/>
        </w:rPr>
        <w:t>6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8D3F13">
        <w:rPr>
          <w:sz w:val="24"/>
          <w:szCs w:val="24"/>
        </w:rPr>
        <w:t>25</w:t>
      </w:r>
      <w:r w:rsidR="009A77E9">
        <w:rPr>
          <w:sz w:val="24"/>
          <w:szCs w:val="24"/>
        </w:rPr>
        <w:t xml:space="preserve"> de </w:t>
      </w:r>
      <w:r w:rsidR="00EF4A55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507A2C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8D3F13" w:rsidRPr="00CC55C6" w:rsidTr="00B95DDA">
        <w:tc>
          <w:tcPr>
            <w:tcW w:w="2208" w:type="dxa"/>
          </w:tcPr>
          <w:p w:rsidR="008D3F13" w:rsidRPr="0047077E" w:rsidRDefault="008D3F13" w:rsidP="008D3F13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13" w:rsidRPr="00CC55C6" w:rsidRDefault="001E1702" w:rsidP="008D3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8D3F13" w:rsidRPr="0047077E" w:rsidRDefault="008D3F13" w:rsidP="008D3F13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13" w:rsidRPr="00CC55C6" w:rsidRDefault="001E1702" w:rsidP="008D3F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3F13" w:rsidRPr="00CC55C6" w:rsidTr="00B95DDA">
        <w:tc>
          <w:tcPr>
            <w:tcW w:w="2208" w:type="dxa"/>
          </w:tcPr>
          <w:p w:rsidR="008D3F13" w:rsidRPr="0047077E" w:rsidRDefault="008D3F13" w:rsidP="008D3F13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13" w:rsidRPr="00CC55C6" w:rsidRDefault="001E1702" w:rsidP="008D3F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8D3F13" w:rsidRPr="0047077E" w:rsidRDefault="008D3F13" w:rsidP="008D3F13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13" w:rsidRPr="00CC55C6" w:rsidRDefault="001E1702" w:rsidP="008D3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3F13" w:rsidRPr="00CC55C6" w:rsidTr="00B95DDA">
        <w:tc>
          <w:tcPr>
            <w:tcW w:w="2208" w:type="dxa"/>
          </w:tcPr>
          <w:p w:rsidR="008D3F13" w:rsidRPr="0047077E" w:rsidRDefault="008D3F13" w:rsidP="008D3F13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13" w:rsidRPr="00CC55C6" w:rsidRDefault="001E1702" w:rsidP="008D3F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D3F13" w:rsidRPr="0047077E" w:rsidRDefault="008D3F13" w:rsidP="008D3F13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13" w:rsidRPr="00CC55C6" w:rsidRDefault="001E1702" w:rsidP="008D3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3F13" w:rsidRPr="00CC55C6" w:rsidTr="00B95DDA">
        <w:tc>
          <w:tcPr>
            <w:tcW w:w="2208" w:type="dxa"/>
          </w:tcPr>
          <w:p w:rsidR="008D3F13" w:rsidRPr="0047077E" w:rsidRDefault="008D3F13" w:rsidP="008D3F13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13" w:rsidRPr="00CC55C6" w:rsidRDefault="001E1702" w:rsidP="008D3F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D3F13" w:rsidRPr="0047077E" w:rsidRDefault="008D3F13" w:rsidP="008D3F13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13" w:rsidRPr="00CC55C6" w:rsidRDefault="001E1702" w:rsidP="008D3F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3F13" w:rsidRPr="00CC55C6" w:rsidTr="00B95DDA">
        <w:tc>
          <w:tcPr>
            <w:tcW w:w="2208" w:type="dxa"/>
          </w:tcPr>
          <w:p w:rsidR="008D3F13" w:rsidRPr="0047077E" w:rsidRDefault="008D3F13" w:rsidP="008D3F13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13" w:rsidRPr="00CC55C6" w:rsidRDefault="001E1702" w:rsidP="008D3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8D3F13" w:rsidRPr="0047077E" w:rsidRDefault="008D3F13" w:rsidP="008D3F13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13" w:rsidRPr="00CC55C6" w:rsidRDefault="001E1702" w:rsidP="008D3F1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D3F13" w:rsidRPr="00CC55C6" w:rsidTr="00B95DDA">
        <w:tc>
          <w:tcPr>
            <w:tcW w:w="2208" w:type="dxa"/>
          </w:tcPr>
          <w:p w:rsidR="008D3F13" w:rsidRDefault="008D3F13" w:rsidP="008D3F13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13" w:rsidRDefault="001E1702" w:rsidP="008D3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8D3F13" w:rsidRDefault="008D3F13" w:rsidP="008D3F13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13" w:rsidRDefault="001E1702" w:rsidP="008D3F1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1E170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2" w:rsidRPr="00CC55C6" w:rsidRDefault="001E1702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1E170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2" w:rsidRPr="00CC55C6" w:rsidRDefault="001E1702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1E170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2" w:rsidRPr="00CC55C6" w:rsidRDefault="001E1702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1E170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2" w:rsidRPr="00CC55C6" w:rsidRDefault="001E1702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1E170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2" w:rsidRPr="00CC55C6" w:rsidRDefault="001E1702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1E170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2" w:rsidRPr="00CC55C6" w:rsidRDefault="001E1702" w:rsidP="00B553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1E170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2" w:rsidRPr="00CC55C6" w:rsidRDefault="001E1702" w:rsidP="00CF74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1E170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2" w:rsidRDefault="001E1702" w:rsidP="00E343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1E1702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2" w:rsidRPr="00CC55C6" w:rsidRDefault="001E1702" w:rsidP="00C33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1E170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2" w:rsidRPr="00CC55C6" w:rsidRDefault="001E1702" w:rsidP="00B55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1E170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2" w:rsidRPr="00CC55C6" w:rsidRDefault="001E1702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1E170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02" w:rsidRPr="00CC55C6" w:rsidRDefault="001E1702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02" w:rsidRPr="00CC55C6" w:rsidRDefault="001E1702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lastRenderedPageBreak/>
        <w:t>Próxima jornada (</w:t>
      </w:r>
      <w:r w:rsidR="00394273">
        <w:rPr>
          <w:b/>
          <w:u w:val="single"/>
        </w:rPr>
        <w:t>2</w:t>
      </w:r>
      <w:r w:rsidR="00447359">
        <w:rPr>
          <w:b/>
          <w:u w:val="single"/>
        </w:rPr>
        <w:t>-</w:t>
      </w:r>
      <w:r w:rsidR="008D3F13">
        <w:rPr>
          <w:b/>
          <w:u w:val="single"/>
        </w:rPr>
        <w:t>diciembre-</w:t>
      </w:r>
      <w:r>
        <w:rPr>
          <w:b/>
          <w:u w:val="single"/>
        </w:rPr>
        <w:t>201</w:t>
      </w:r>
      <w:r w:rsidR="003552E8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8D3F13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8D3F13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8D3F13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B2618" w:rsidRPr="0047077E" w:rsidRDefault="008D3F13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D3F13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8D3F13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D3F13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Mesón El Ciervo</w:t>
            </w:r>
          </w:p>
        </w:tc>
        <w:tc>
          <w:tcPr>
            <w:tcW w:w="2552" w:type="dxa"/>
          </w:tcPr>
          <w:p w:rsidR="006B2618" w:rsidRPr="0047077E" w:rsidRDefault="008D3F13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8D3F13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8D3F13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394273" w:rsidP="00B1799F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B1799F" w:rsidRDefault="008D3F13" w:rsidP="00B1799F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507A2C" w:rsidP="00CC23E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CC23E0" w:rsidRPr="001E1702" w:rsidRDefault="00F43616" w:rsidP="00BB2A8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</w:t>
      </w:r>
      <w:r w:rsidR="00783B26">
        <w:t>º</w:t>
      </w:r>
      <w:proofErr w:type="spellEnd"/>
      <w:r w:rsidR="00783B26">
        <w:t xml:space="preserve">. </w:t>
      </w:r>
      <w:r w:rsidR="001E1702">
        <w:t>9.</w:t>
      </w:r>
    </w:p>
    <w:p w:rsidR="006B2618" w:rsidRDefault="006B2618" w:rsidP="006B2618">
      <w:pPr>
        <w:ind w:left="2880"/>
      </w:pPr>
    </w:p>
    <w:p w:rsidR="006B2618" w:rsidRPr="004033AD" w:rsidRDefault="00F43616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9D01C6" w:rsidRPr="009D01C6" w:rsidRDefault="006B2618" w:rsidP="00F32E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1E1702">
        <w:t>19</w:t>
      </w:r>
    </w:p>
    <w:p w:rsidR="006B2618" w:rsidRPr="00783B26" w:rsidRDefault="001E1702" w:rsidP="00F32E8D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nº</w:t>
      </w:r>
      <w:proofErr w:type="spellEnd"/>
      <w:r>
        <w:t xml:space="preserve"> 1 por falta a un contrario siendo el último jugador evitando una clara ocasión de gol.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BB359C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1E1702" w:rsidRPr="001E1702" w:rsidRDefault="006B2618" w:rsidP="00D9278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 w:rsidR="00F43616">
        <w:t>nº</w:t>
      </w:r>
      <w:proofErr w:type="spellEnd"/>
      <w:r w:rsidR="00F43616">
        <w:t xml:space="preserve"> </w:t>
      </w:r>
      <w:r w:rsidR="001E1702">
        <w:t>6</w:t>
      </w:r>
    </w:p>
    <w:p w:rsidR="001E1702" w:rsidRPr="001E1702" w:rsidRDefault="001E1702" w:rsidP="00D9278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8</w:t>
      </w:r>
    </w:p>
    <w:p w:rsidR="006B2618" w:rsidRPr="00783B26" w:rsidRDefault="001E1702" w:rsidP="00D9278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11</w:t>
      </w:r>
      <w:r w:rsidR="00F43616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1" w:name="_Hlk527901866"/>
      <w:proofErr w:type="spellStart"/>
      <w:r>
        <w:rPr>
          <w:b/>
        </w:rPr>
        <w:t>Pindepa</w:t>
      </w:r>
      <w:proofErr w:type="spellEnd"/>
    </w:p>
    <w:p w:rsidR="006B2618" w:rsidRPr="00BB359C" w:rsidRDefault="006B2618" w:rsidP="00A3132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B359C">
        <w:t>1</w:t>
      </w:r>
      <w:r w:rsidR="001E1702">
        <w:t>5</w:t>
      </w:r>
      <w:r w:rsidR="00BB359C">
        <w:t>.</w:t>
      </w:r>
    </w:p>
    <w:bookmarkEnd w:id="1"/>
    <w:p w:rsidR="00BB359C" w:rsidRDefault="00BB359C" w:rsidP="00BB359C">
      <w:pPr>
        <w:rPr>
          <w:u w:val="single"/>
        </w:rPr>
      </w:pPr>
    </w:p>
    <w:p w:rsidR="00BB359C" w:rsidRPr="004033AD" w:rsidRDefault="00783B26" w:rsidP="00BB359C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9D01C6" w:rsidRPr="009D01C6" w:rsidRDefault="00BB359C" w:rsidP="00BB359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1E1702">
        <w:t>14</w:t>
      </w:r>
    </w:p>
    <w:p w:rsidR="00BB359C" w:rsidRPr="001E1702" w:rsidRDefault="009D01C6" w:rsidP="00016A3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1E1702">
        <w:t>25.</w:t>
      </w:r>
    </w:p>
    <w:p w:rsidR="001552C6" w:rsidRPr="00BB359C" w:rsidRDefault="001552C6" w:rsidP="00D577EA">
      <w:pPr>
        <w:ind w:left="2880"/>
        <w:rPr>
          <w:u w:val="single"/>
        </w:rPr>
      </w:pPr>
    </w:p>
    <w:p w:rsidR="001552C6" w:rsidRPr="004033AD" w:rsidRDefault="00D577EA" w:rsidP="001552C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7934AE" w:rsidRPr="007934AE" w:rsidRDefault="001552C6" w:rsidP="004859E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934AE">
        <w:t>2</w:t>
      </w:r>
    </w:p>
    <w:p w:rsidR="001552C6" w:rsidRPr="009D01C6" w:rsidRDefault="007934AE" w:rsidP="004859E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8</w:t>
      </w:r>
      <w:r w:rsidR="009D01C6">
        <w:t>.</w:t>
      </w:r>
    </w:p>
    <w:p w:rsidR="00D577EA" w:rsidRPr="00D577EA" w:rsidRDefault="00D577EA" w:rsidP="00D577EA">
      <w:pPr>
        <w:ind w:left="1440"/>
        <w:rPr>
          <w:b/>
          <w:u w:val="single"/>
        </w:rPr>
      </w:pPr>
    </w:p>
    <w:p w:rsidR="00D577EA" w:rsidRPr="004033AD" w:rsidRDefault="007934AE" w:rsidP="00D577E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4C516E" w:rsidRPr="007934AE" w:rsidRDefault="009D01C6" w:rsidP="000E46A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934AE">
        <w:t>21.</w:t>
      </w:r>
    </w:p>
    <w:p w:rsidR="007934AE" w:rsidRPr="007934AE" w:rsidRDefault="007934AE" w:rsidP="007934AE">
      <w:pPr>
        <w:ind w:left="2880"/>
        <w:rPr>
          <w:u w:val="single"/>
        </w:rPr>
      </w:pPr>
    </w:p>
    <w:p w:rsidR="00D577EA" w:rsidRPr="004033AD" w:rsidRDefault="004C516E" w:rsidP="00D577EA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7934AE" w:rsidRPr="007934AE" w:rsidRDefault="00D577EA" w:rsidP="00D577E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934AE">
        <w:t>17</w:t>
      </w:r>
    </w:p>
    <w:p w:rsidR="00D577EA" w:rsidRPr="007934AE" w:rsidRDefault="007934AE" w:rsidP="00E40EE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27.</w:t>
      </w:r>
    </w:p>
    <w:p w:rsidR="00510A5C" w:rsidRDefault="00510A5C" w:rsidP="00510A5C">
      <w:pPr>
        <w:rPr>
          <w:u w:val="single"/>
        </w:rPr>
      </w:pPr>
    </w:p>
    <w:p w:rsidR="00566262" w:rsidRDefault="00566262" w:rsidP="00566262">
      <w:pPr>
        <w:ind w:left="708"/>
      </w:pPr>
      <w:r>
        <w:lastRenderedPageBreak/>
        <w:t xml:space="preserve">Ante la reclamación de La Sede sobre la alineación indebida del jugador </w:t>
      </w:r>
      <w:proofErr w:type="spellStart"/>
      <w:r>
        <w:t>nº</w:t>
      </w:r>
      <w:proofErr w:type="spellEnd"/>
      <w:r>
        <w:t xml:space="preserve"> 1 de </w:t>
      </w:r>
      <w:proofErr w:type="spellStart"/>
      <w:r>
        <w:t>Unirea</w:t>
      </w:r>
      <w:proofErr w:type="spellEnd"/>
      <w:r>
        <w:t xml:space="preserve"> (Ciro Vargas) la Junta Directiva constata que la citada reclamación no se ha realizado según el procedimiento establecido y que para mejor conocimiento se acompaña al final de este Acta.</w:t>
      </w:r>
    </w:p>
    <w:p w:rsidR="00566262" w:rsidRDefault="00566262" w:rsidP="00566262">
      <w:pPr>
        <w:ind w:left="708"/>
      </w:pPr>
      <w:r>
        <w:t xml:space="preserve">Por tanto, dado que </w:t>
      </w:r>
      <w:proofErr w:type="spellStart"/>
      <w:r>
        <w:t>Unirea</w:t>
      </w:r>
      <w:proofErr w:type="spellEnd"/>
      <w:r>
        <w:t xml:space="preserve"> no ha sido requerido para aportar tal ficha, la Junta decide mantener el resultado habido en el encuentro.</w:t>
      </w:r>
    </w:p>
    <w:p w:rsidR="00566262" w:rsidRPr="00566262" w:rsidRDefault="00566262" w:rsidP="00566262">
      <w:pPr>
        <w:ind w:left="708"/>
      </w:pPr>
      <w:r>
        <w:t xml:space="preserve">No </w:t>
      </w:r>
      <w:proofErr w:type="gramStart"/>
      <w:r>
        <w:t>obstante</w:t>
      </w:r>
      <w:proofErr w:type="gramEnd"/>
      <w:r>
        <w:t xml:space="preserve"> lo anterior y por si hubiese situación punible, la Junta contactará con </w:t>
      </w:r>
      <w:proofErr w:type="spellStart"/>
      <w:r>
        <w:t>Unirea</w:t>
      </w:r>
      <w:proofErr w:type="spellEnd"/>
      <w:r>
        <w:t xml:space="preserve"> para recabar información. </w:t>
      </w:r>
    </w:p>
    <w:p w:rsidR="00510A5C" w:rsidRDefault="00510A5C" w:rsidP="00510A5C">
      <w:pPr>
        <w:rPr>
          <w:u w:val="single"/>
        </w:rPr>
      </w:pPr>
    </w:p>
    <w:p w:rsidR="007934AE" w:rsidRDefault="007934AE" w:rsidP="00783B26">
      <w:pPr>
        <w:ind w:left="2520"/>
        <w:rPr>
          <w:u w:val="single"/>
        </w:rPr>
      </w:pPr>
    </w:p>
    <w:p w:rsidR="006461A9" w:rsidRDefault="00FD2EC2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4C516E" w:rsidTr="004C516E">
        <w:trPr>
          <w:trHeight w:val="2297"/>
        </w:trPr>
        <w:tc>
          <w:tcPr>
            <w:tcW w:w="2268" w:type="dxa"/>
          </w:tcPr>
          <w:p w:rsidR="00F2422C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 Ruiz </w:t>
            </w:r>
            <w:r w:rsidR="00F2422C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Aguirre</w:t>
            </w:r>
          </w:p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</w:tcPr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276" w:type="dxa"/>
          </w:tcPr>
          <w:p w:rsidR="004C516E" w:rsidRDefault="004C516E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18-11-2018</w:t>
            </w:r>
          </w:p>
        </w:tc>
        <w:tc>
          <w:tcPr>
            <w:tcW w:w="1134" w:type="dxa"/>
          </w:tcPr>
          <w:p w:rsidR="004C516E" w:rsidRDefault="006C6A0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27-1-2019</w:t>
            </w:r>
          </w:p>
        </w:tc>
        <w:tc>
          <w:tcPr>
            <w:tcW w:w="2976" w:type="dxa"/>
          </w:tcPr>
          <w:p w:rsidR="004C516E" w:rsidRDefault="004C516E" w:rsidP="004C516E">
            <w:r>
              <w:t>Roja directa por propinar un puñetazo en el hombro a un contrario tras recibir insultos graves de él. Se le sanciona con 30 euros de multa y 6 partidos de sanción.</w:t>
            </w:r>
          </w:p>
          <w:p w:rsidR="004C516E" w:rsidRDefault="004C516E" w:rsidP="004C516E">
            <w:pPr>
              <w:rPr>
                <w:sz w:val="20"/>
                <w:szCs w:val="20"/>
              </w:rPr>
            </w:pPr>
            <w:r>
              <w:t>Acta del 18-11-2018</w:t>
            </w:r>
          </w:p>
        </w:tc>
      </w:tr>
      <w:tr w:rsidR="004C516E" w:rsidTr="004C516E">
        <w:trPr>
          <w:trHeight w:val="719"/>
        </w:trPr>
        <w:tc>
          <w:tcPr>
            <w:tcW w:w="2268" w:type="dxa"/>
          </w:tcPr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 Martín Silva</w:t>
            </w:r>
          </w:p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1276" w:type="dxa"/>
          </w:tcPr>
          <w:p w:rsidR="004C516E" w:rsidRDefault="004C516E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4C516E" w:rsidRDefault="004C516E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18-11-2018</w:t>
            </w:r>
          </w:p>
        </w:tc>
        <w:tc>
          <w:tcPr>
            <w:tcW w:w="1134" w:type="dxa"/>
          </w:tcPr>
          <w:p w:rsidR="004C516E" w:rsidRDefault="006C6A0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2-12-2018</w:t>
            </w:r>
          </w:p>
        </w:tc>
        <w:tc>
          <w:tcPr>
            <w:tcW w:w="2976" w:type="dxa"/>
          </w:tcPr>
          <w:p w:rsidR="004C516E" w:rsidRDefault="004C516E" w:rsidP="004C516E">
            <w:r>
              <w:t>Roja directa por insultar a un contrario. Se le sanciona con dos partidos y 18 euros de multa.</w:t>
            </w:r>
          </w:p>
          <w:p w:rsidR="004C516E" w:rsidRPr="004C516E" w:rsidRDefault="004C516E" w:rsidP="004C516E">
            <w:r>
              <w:t>Acta del 18-11-2018</w:t>
            </w:r>
          </w:p>
          <w:p w:rsidR="004C516E" w:rsidRDefault="004C516E" w:rsidP="009A0548">
            <w:pPr>
              <w:ind w:left="1"/>
              <w:rPr>
                <w:sz w:val="20"/>
                <w:szCs w:val="20"/>
              </w:rPr>
            </w:pPr>
          </w:p>
        </w:tc>
      </w:tr>
    </w:tbl>
    <w:p w:rsidR="00D65276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35454" w:rsidRDefault="00835454" w:rsidP="00D65276">
      <w:pPr>
        <w:rPr>
          <w:b/>
        </w:rPr>
      </w:pPr>
    </w:p>
    <w:p w:rsidR="00835454" w:rsidRDefault="00835454" w:rsidP="00D65276">
      <w:pPr>
        <w:rPr>
          <w:b/>
        </w:rPr>
      </w:pPr>
    </w:p>
    <w:p w:rsidR="00835454" w:rsidRDefault="00835454" w:rsidP="00D65276">
      <w:pPr>
        <w:rPr>
          <w:b/>
        </w:rPr>
      </w:pPr>
    </w:p>
    <w:p w:rsidR="00835454" w:rsidRDefault="00835454" w:rsidP="00D65276">
      <w:pPr>
        <w:rPr>
          <w:b/>
        </w:rPr>
      </w:pPr>
      <w:bookmarkStart w:id="2" w:name="_GoBack"/>
      <w:bookmarkEnd w:id="2"/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lastRenderedPageBreak/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sobre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</w:t>
      </w:r>
      <w:r w:rsidR="00701B80" w:rsidRPr="00701B80">
        <w:rPr>
          <w:b/>
          <w:i/>
          <w:color w:val="FF0000"/>
        </w:rPr>
        <w:t xml:space="preserve">del equipo contrario </w:t>
      </w:r>
      <w:r w:rsidRPr="00701B80">
        <w:rPr>
          <w:b/>
          <w:i/>
          <w:color w:val="FF0000"/>
        </w:rPr>
        <w:t xml:space="preserve">que entren al encuentro, cualquier equipo puede solicitar las fichas del equipo </w:t>
      </w:r>
      <w:r w:rsidR="00701B80" w:rsidRPr="00701B80">
        <w:rPr>
          <w:b/>
          <w:i/>
          <w:color w:val="FF0000"/>
        </w:rPr>
        <w:t xml:space="preserve">o de uno / varios jugadores del equipo </w:t>
      </w:r>
      <w:r w:rsidRPr="00701B80">
        <w:rPr>
          <w:b/>
          <w:i/>
          <w:color w:val="FF0000"/>
        </w:rPr>
        <w:t xml:space="preserve">contrario dirigiéndose al </w:t>
      </w:r>
      <w:proofErr w:type="gramStart"/>
      <w:r w:rsidRPr="00701B80">
        <w:rPr>
          <w:b/>
          <w:i/>
          <w:color w:val="FF0000"/>
        </w:rPr>
        <w:t>Responsable</w:t>
      </w:r>
      <w:proofErr w:type="gramEnd"/>
      <w:r w:rsidRPr="00701B80">
        <w:rPr>
          <w:b/>
          <w:i/>
          <w:color w:val="FF0000"/>
        </w:rPr>
        <w:t xml:space="preserve">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Default="00FB2092" w:rsidP="00E34301">
      <w:pPr>
        <w:pStyle w:val="NormalWeb"/>
        <w:shd w:val="clear" w:color="auto" w:fill="FFFFFF"/>
        <w:ind w:left="708"/>
        <w:jc w:val="both"/>
        <w:textAlignment w:val="top"/>
      </w:pPr>
      <w:r>
        <w:t>En esta fecha tienen pagos pendientes los siguientes equipos:</w:t>
      </w:r>
    </w:p>
    <w:p w:rsidR="009D5101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8 40</w:t>
      </w:r>
      <w:r w:rsidR="00FB2092">
        <w:t>…………………</w:t>
      </w:r>
      <w:r w:rsidR="00411654">
        <w:t>10,10</w:t>
      </w:r>
      <w:r w:rsidR="009D5101">
        <w:t xml:space="preserve"> euros</w:t>
      </w:r>
      <w:r w:rsidR="009A0548">
        <w:t>.</w:t>
      </w:r>
    </w:p>
    <w:p w:rsidR="00EF4A55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proofErr w:type="spellStart"/>
      <w:r>
        <w:t>Unirea</w:t>
      </w:r>
      <w:proofErr w:type="spellEnd"/>
      <w:r>
        <w:t>………</w:t>
      </w:r>
      <w:proofErr w:type="gramStart"/>
      <w:r>
        <w:t>…….</w:t>
      </w:r>
      <w:proofErr w:type="gramEnd"/>
      <w:r>
        <w:t>.</w:t>
      </w:r>
      <w:r w:rsidR="00411654">
        <w:t>196,37</w:t>
      </w:r>
      <w:r>
        <w:t xml:space="preserve"> euros.</w:t>
      </w:r>
    </w:p>
    <w:p w:rsidR="00417B4E" w:rsidRDefault="00417B4E" w:rsidP="00417B4E">
      <w:pPr>
        <w:pStyle w:val="NormalWeb"/>
        <w:shd w:val="clear" w:color="auto" w:fill="FFFFFF"/>
        <w:jc w:val="both"/>
        <w:textAlignment w:val="top"/>
      </w:pP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5E" w:rsidRDefault="00CC325E">
      <w:r>
        <w:separator/>
      </w:r>
    </w:p>
  </w:endnote>
  <w:endnote w:type="continuationSeparator" w:id="0">
    <w:p w:rsidR="00CC325E" w:rsidRDefault="00CC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8D3F13">
      <w:t>6</w:t>
    </w:r>
    <w:r>
      <w:t xml:space="preserve"> del </w:t>
    </w:r>
    <w:r w:rsidR="008D3F13">
      <w:t>25</w:t>
    </w:r>
    <w:r>
      <w:t>-</w:t>
    </w:r>
    <w:r w:rsidR="006B2618">
      <w:t>1</w:t>
    </w:r>
    <w:r w:rsidR="00EF4A55">
      <w:t>1</w:t>
    </w:r>
    <w:r>
      <w:t>-1</w:t>
    </w:r>
    <w:r w:rsidR="00507A2C">
      <w:t>8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5E" w:rsidRDefault="00CC325E">
      <w:r>
        <w:separator/>
      </w:r>
    </w:p>
  </w:footnote>
  <w:footnote w:type="continuationSeparator" w:id="0">
    <w:p w:rsidR="00CC325E" w:rsidRDefault="00CC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52C6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33AD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101FB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C2622"/>
    <w:rsid w:val="00BC5246"/>
    <w:rsid w:val="00BC6E05"/>
    <w:rsid w:val="00BD14FE"/>
    <w:rsid w:val="00BD1F06"/>
    <w:rsid w:val="00BD45BA"/>
    <w:rsid w:val="00BD4B9E"/>
    <w:rsid w:val="00BD55BD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5E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3FBC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E8B"/>
    <w:rsid w:val="00F32AE9"/>
    <w:rsid w:val="00F3331F"/>
    <w:rsid w:val="00F3344F"/>
    <w:rsid w:val="00F340B5"/>
    <w:rsid w:val="00F353E1"/>
    <w:rsid w:val="00F365CD"/>
    <w:rsid w:val="00F40758"/>
    <w:rsid w:val="00F43616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F52C6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E9017-CDC2-433C-B3B7-28C75332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9</cp:revision>
  <dcterms:created xsi:type="dcterms:W3CDTF">2018-11-24T16:00:00Z</dcterms:created>
  <dcterms:modified xsi:type="dcterms:W3CDTF">2018-11-25T21:50:00Z</dcterms:modified>
</cp:coreProperties>
</file>