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804A1E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804A1E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804A1E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04A1E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4A1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4A1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04A1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r>
              <w:t>La Perla</w:t>
            </w:r>
            <w:r w:rsidR="0058106A">
              <w:t xml:space="preserve">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4A1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47077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Pr="00CC55C6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4A1E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Default="00804A1E" w:rsidP="00804A1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Default="00804A1E" w:rsidP="00804A1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1E" w:rsidRDefault="0058106A" w:rsidP="00804A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E34301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8106A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2007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Default="0058106A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58106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A" w:rsidRPr="00CC55C6" w:rsidRDefault="0058106A" w:rsidP="00CF74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6A" w:rsidRPr="00CC55C6" w:rsidRDefault="0058106A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8106A">
        <w:rPr>
          <w:b/>
          <w:u w:val="single"/>
        </w:rPr>
        <w:t>11</w:t>
      </w:r>
      <w:r w:rsidR="00447359">
        <w:rPr>
          <w:b/>
          <w:u w:val="single"/>
        </w:rPr>
        <w:t>-</w:t>
      </w:r>
      <w:r w:rsidR="008D240D">
        <w:rPr>
          <w:b/>
          <w:u w:val="single"/>
        </w:rPr>
        <w:t>febrero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</w:t>
            </w:r>
          </w:p>
        </w:tc>
        <w:tc>
          <w:tcPr>
            <w:tcW w:w="2552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804A1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804A1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21099" w:rsidRDefault="00804A1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6B2618" w:rsidRPr="004033AD" w:rsidRDefault="003322EC" w:rsidP="006B2618">
      <w:pPr>
        <w:numPr>
          <w:ilvl w:val="0"/>
          <w:numId w:val="4"/>
        </w:numPr>
        <w:rPr>
          <w:b/>
          <w:u w:val="single"/>
        </w:rPr>
      </w:pPr>
      <w:bookmarkStart w:id="1" w:name="_Hlk504926294"/>
      <w:r>
        <w:rPr>
          <w:b/>
        </w:rPr>
        <w:t>Atlantic</w:t>
      </w:r>
      <w:r w:rsidR="009B3F38">
        <w:rPr>
          <w:b/>
        </w:rPr>
        <w:t xml:space="preserve"> Isles</w:t>
      </w:r>
    </w:p>
    <w:p w:rsidR="0058106A" w:rsidRPr="0058106A" w:rsidRDefault="006B2618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7</w:t>
      </w:r>
    </w:p>
    <w:p w:rsidR="0058106A" w:rsidRPr="0058106A" w:rsidRDefault="0058106A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24</w:t>
      </w:r>
    </w:p>
    <w:p w:rsidR="006B2618" w:rsidRPr="00027794" w:rsidRDefault="0058106A" w:rsidP="00F83142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10 (</w:t>
      </w:r>
      <w:r w:rsidR="00F83142">
        <w:t>Francisco Hernández Franco</w:t>
      </w:r>
      <w:r>
        <w:t xml:space="preserve">) debido a </w:t>
      </w:r>
      <w:r w:rsidR="00F83142">
        <w:t>lanzar con fuerza y de forma deliberada el balón contra el árbitro mediante un puntapié en el momento de ponerlo en juego en el centro del campo tras un gol del equipo contrario. Se</w:t>
      </w:r>
      <w:r>
        <w:t xml:space="preserve"> le sanciona con </w:t>
      </w:r>
      <w:r w:rsidR="00F83142">
        <w:t>6</w:t>
      </w:r>
      <w:r>
        <w:t xml:space="preserve"> partidos y una multa de </w:t>
      </w:r>
      <w:r w:rsidR="00F83142">
        <w:t>30</w:t>
      </w:r>
      <w:r>
        <w:t xml:space="preserve"> euros</w:t>
      </w:r>
      <w:r w:rsidR="002020DA">
        <w:t>.</w:t>
      </w:r>
    </w:p>
    <w:bookmarkEnd w:id="1"/>
    <w:p w:rsidR="006B2618" w:rsidRDefault="006B2618" w:rsidP="006B2618">
      <w:pPr>
        <w:ind w:left="2880"/>
        <w:rPr>
          <w:u w:val="single"/>
        </w:rPr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027794" w:rsidRPr="00027794" w:rsidRDefault="00126187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9</w:t>
      </w:r>
    </w:p>
    <w:p w:rsidR="0058106A" w:rsidRPr="0058106A" w:rsidRDefault="00027794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58106A">
        <w:t>1</w:t>
      </w:r>
    </w:p>
    <w:p w:rsidR="0058106A" w:rsidRPr="0058106A" w:rsidRDefault="0058106A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58106A" w:rsidRPr="0058106A" w:rsidRDefault="0058106A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</w:p>
    <w:p w:rsidR="002020DA" w:rsidRPr="00610718" w:rsidRDefault="0058106A" w:rsidP="002020D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2007DD" w:rsidRPr="004033AD" w:rsidRDefault="002007DD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07DD" w:rsidRPr="00027794" w:rsidRDefault="002007DD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10</w:t>
      </w:r>
      <w:r>
        <w:t>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58106A" w:rsidRPr="0058106A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58106A" w:rsidRPr="0058106A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25</w:t>
      </w:r>
    </w:p>
    <w:p w:rsidR="00027794" w:rsidRPr="00027794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28</w:t>
      </w:r>
      <w:r w:rsidR="00027794">
        <w:t>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027794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2007DD" w:rsidRPr="00027794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15</w:t>
      </w:r>
      <w:r>
        <w:t>.</w:t>
      </w:r>
    </w:p>
    <w:p w:rsidR="00027794" w:rsidRPr="00027794" w:rsidRDefault="00027794" w:rsidP="00027794">
      <w:pPr>
        <w:ind w:left="2880"/>
        <w:rPr>
          <w:u w:val="single"/>
        </w:rPr>
      </w:pPr>
    </w:p>
    <w:p w:rsidR="00027794" w:rsidRPr="004033AD" w:rsidRDefault="0058106A" w:rsidP="0002779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027794" w:rsidRPr="00126187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6</w:t>
      </w:r>
    </w:p>
    <w:p w:rsidR="00027794" w:rsidRPr="00027794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58106A">
        <w:t>2</w:t>
      </w:r>
      <w:r>
        <w:t>.</w:t>
      </w:r>
    </w:p>
    <w:p w:rsidR="00027794" w:rsidRPr="004033AD" w:rsidRDefault="00027794" w:rsidP="0002779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Yepronor</w:t>
      </w:r>
      <w:proofErr w:type="spellEnd"/>
    </w:p>
    <w:p w:rsidR="00027794" w:rsidRPr="00126187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106A">
        <w:t>9</w:t>
      </w:r>
    </w:p>
    <w:p w:rsidR="00027794" w:rsidRPr="00925E79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16.</w:t>
      </w:r>
    </w:p>
    <w:p w:rsidR="00027794" w:rsidRPr="00925E79" w:rsidRDefault="00027794" w:rsidP="00027794">
      <w:pPr>
        <w:ind w:left="2880"/>
        <w:rPr>
          <w:u w:val="single"/>
        </w:rPr>
      </w:pPr>
    </w:p>
    <w:p w:rsidR="00027794" w:rsidRPr="002007DD" w:rsidRDefault="00027794" w:rsidP="00027794">
      <w:pPr>
        <w:ind w:left="2880"/>
        <w:rPr>
          <w:u w:val="single"/>
        </w:rPr>
      </w:pPr>
    </w:p>
    <w:p w:rsidR="002007DD" w:rsidRPr="004033AD" w:rsidRDefault="00027794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027794" w:rsidRPr="00027794" w:rsidRDefault="00027794" w:rsidP="002007DD">
      <w:pPr>
        <w:numPr>
          <w:ilvl w:val="3"/>
          <w:numId w:val="11"/>
        </w:numPr>
      </w:pPr>
      <w:r w:rsidRPr="00027794">
        <w:t xml:space="preserve">amarilla al </w:t>
      </w:r>
      <w:proofErr w:type="spellStart"/>
      <w:r w:rsidRPr="00027794">
        <w:t>nº</w:t>
      </w:r>
      <w:proofErr w:type="spellEnd"/>
      <w:r w:rsidRPr="00027794">
        <w:t xml:space="preserve"> </w:t>
      </w:r>
      <w:r w:rsidR="0058106A">
        <w:t>3</w:t>
      </w:r>
    </w:p>
    <w:p w:rsidR="002007DD" w:rsidRPr="0058106A" w:rsidRDefault="002007DD" w:rsidP="00F8314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58106A">
        <w:t>4.</w:t>
      </w:r>
    </w:p>
    <w:p w:rsidR="0058106A" w:rsidRDefault="0058106A" w:rsidP="0058106A">
      <w:pPr>
        <w:ind w:left="2880"/>
        <w:rPr>
          <w:u w:val="single"/>
        </w:rPr>
      </w:pPr>
    </w:p>
    <w:p w:rsidR="0058106A" w:rsidRPr="004033AD" w:rsidRDefault="0058106A" w:rsidP="0058106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58106A" w:rsidRPr="00027794" w:rsidRDefault="0058106A" w:rsidP="0058106A">
      <w:pPr>
        <w:numPr>
          <w:ilvl w:val="3"/>
          <w:numId w:val="11"/>
        </w:numPr>
      </w:pPr>
      <w:r w:rsidRPr="00027794">
        <w:t xml:space="preserve">amarilla al </w:t>
      </w:r>
      <w:proofErr w:type="spellStart"/>
      <w:r w:rsidRPr="00027794">
        <w:t>nº</w:t>
      </w:r>
      <w:proofErr w:type="spellEnd"/>
      <w:r w:rsidRPr="00027794">
        <w:t xml:space="preserve"> </w:t>
      </w:r>
      <w:r>
        <w:t>5</w:t>
      </w:r>
    </w:p>
    <w:p w:rsidR="0058106A" w:rsidRPr="0058106A" w:rsidRDefault="0058106A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12.</w:t>
      </w:r>
    </w:p>
    <w:p w:rsidR="0058106A" w:rsidRPr="0058106A" w:rsidRDefault="0058106A" w:rsidP="0058106A">
      <w:pPr>
        <w:ind w:left="2880"/>
        <w:rPr>
          <w:u w:val="single"/>
        </w:rPr>
      </w:pPr>
    </w:p>
    <w:p w:rsidR="00215226" w:rsidRDefault="00215226" w:rsidP="00215226">
      <w:pPr>
        <w:ind w:left="2880"/>
        <w:rPr>
          <w:u w:val="single"/>
        </w:rPr>
      </w:pPr>
      <w:bookmarkStart w:id="2" w:name="_GoBack"/>
      <w:bookmarkEnd w:id="2"/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51EE1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D51EE1" w:rsidRDefault="00D51EE1" w:rsidP="00D65276">
      <w:pPr>
        <w:rPr>
          <w:b/>
        </w:rPr>
      </w:pPr>
    </w:p>
    <w:p w:rsidR="00D51EE1" w:rsidRDefault="00D51EE1" w:rsidP="00D65276">
      <w:pPr>
        <w:rPr>
          <w:b/>
        </w:rPr>
      </w:pPr>
    </w:p>
    <w:p w:rsidR="00D51EE1" w:rsidRPr="002020DA" w:rsidRDefault="00D51EE1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027794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180C4D">
        <w:t xml:space="preserve">  </w:t>
      </w:r>
      <w:r w:rsidR="008F57E2">
        <w:t>9</w:t>
      </w:r>
      <w:r w:rsidR="00804A1E">
        <w:t>4,32</w:t>
      </w:r>
      <w:r w:rsidR="0070665A"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804A1E">
        <w:t>165,06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874,23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A6" w:rsidRDefault="00C95FA6">
      <w:r>
        <w:separator/>
      </w:r>
    </w:p>
  </w:endnote>
  <w:endnote w:type="continuationSeparator" w:id="0">
    <w:p w:rsidR="00C95FA6" w:rsidRDefault="00C9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42" w:rsidRDefault="00F83142">
    <w:pPr>
      <w:pStyle w:val="Piedepgina"/>
      <w:pBdr>
        <w:bottom w:val="single" w:sz="12" w:space="1" w:color="auto"/>
      </w:pBdr>
    </w:pPr>
  </w:p>
  <w:p w:rsidR="00F83142" w:rsidRDefault="00F83142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14 del 4-2-18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1EE1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51EE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A6" w:rsidRDefault="00C95FA6">
      <w:r>
        <w:separator/>
      </w:r>
    </w:p>
  </w:footnote>
  <w:footnote w:type="continuationSeparator" w:id="0">
    <w:p w:rsidR="00C95FA6" w:rsidRDefault="00C9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BDC53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D2A9-B580-43F7-B08F-06F9785A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2018-01-31T21:05:00Z</dcterms:created>
  <dcterms:modified xsi:type="dcterms:W3CDTF">2018-02-04T19:45:00Z</dcterms:modified>
</cp:coreProperties>
</file>